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EC9" w:rsidRPr="00543ED9" w:rsidRDefault="00091EC9" w:rsidP="00091EC9">
      <w:pPr>
        <w:rPr>
          <w:sz w:val="32"/>
          <w:szCs w:val="32"/>
        </w:rPr>
      </w:pPr>
      <w:r w:rsidRPr="00543ED9">
        <w:rPr>
          <w:sz w:val="32"/>
          <w:szCs w:val="32"/>
        </w:rPr>
        <w:tab/>
      </w:r>
      <w:r w:rsidRPr="00881A7F">
        <w:rPr>
          <w:sz w:val="32"/>
          <w:szCs w:val="32"/>
        </w:rPr>
        <w:t xml:space="preserve">***New Fee Structure Effective </w:t>
      </w:r>
      <w:r w:rsidR="00881A7F" w:rsidRPr="00881A7F">
        <w:rPr>
          <w:sz w:val="32"/>
          <w:szCs w:val="32"/>
        </w:rPr>
        <w:t>November 6, 2017</w:t>
      </w:r>
      <w:r w:rsidRPr="00881A7F">
        <w:rPr>
          <w:sz w:val="32"/>
          <w:szCs w:val="32"/>
        </w:rPr>
        <w:t>***</w:t>
      </w:r>
    </w:p>
    <w:p w:rsidR="00091EC9" w:rsidRDefault="00091EC9" w:rsidP="00091EC9"/>
    <w:p w:rsidR="00091EC9" w:rsidRDefault="00091EC9" w:rsidP="00091EC9">
      <w:r>
        <w:t>TRANSFER STATION FEE SCHEDULE</w:t>
      </w:r>
    </w:p>
    <w:p w:rsidR="00091EC9" w:rsidRDefault="00091EC9" w:rsidP="00091EC9"/>
    <w:p w:rsidR="00091EC9" w:rsidRDefault="00091EC9" w:rsidP="00091EC9">
      <w:r>
        <w:t>All bulky waste is subject to the following fee schedule:</w:t>
      </w:r>
    </w:p>
    <w:p w:rsidR="00091EC9" w:rsidRDefault="00091EC9" w:rsidP="00091E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91EC9" w:rsidTr="00076042">
        <w:tc>
          <w:tcPr>
            <w:tcW w:w="3192" w:type="dxa"/>
            <w:shd w:val="clear" w:color="auto" w:fill="auto"/>
          </w:tcPr>
          <w:p w:rsidR="00091EC9" w:rsidRDefault="00091EC9" w:rsidP="00076042">
            <w:r>
              <w:t>Small chair</w:t>
            </w:r>
          </w:p>
        </w:tc>
        <w:tc>
          <w:tcPr>
            <w:tcW w:w="3192" w:type="dxa"/>
            <w:shd w:val="clear" w:color="auto" w:fill="auto"/>
          </w:tcPr>
          <w:p w:rsidR="00091EC9" w:rsidRDefault="00091EC9" w:rsidP="00076042"/>
        </w:tc>
        <w:tc>
          <w:tcPr>
            <w:tcW w:w="3192" w:type="dxa"/>
            <w:shd w:val="clear" w:color="auto" w:fill="auto"/>
          </w:tcPr>
          <w:p w:rsidR="00091EC9" w:rsidRDefault="00091EC9" w:rsidP="00076042">
            <w:r>
              <w:t>10.00</w:t>
            </w:r>
          </w:p>
        </w:tc>
      </w:tr>
      <w:tr w:rsidR="00091EC9" w:rsidTr="00076042">
        <w:tc>
          <w:tcPr>
            <w:tcW w:w="3192" w:type="dxa"/>
            <w:shd w:val="clear" w:color="auto" w:fill="auto"/>
          </w:tcPr>
          <w:p w:rsidR="00091EC9" w:rsidRDefault="00091EC9" w:rsidP="00076042">
            <w:r>
              <w:t>Large chair</w:t>
            </w:r>
          </w:p>
        </w:tc>
        <w:tc>
          <w:tcPr>
            <w:tcW w:w="3192" w:type="dxa"/>
            <w:shd w:val="clear" w:color="auto" w:fill="auto"/>
          </w:tcPr>
          <w:p w:rsidR="00091EC9" w:rsidRDefault="00091EC9" w:rsidP="00076042"/>
        </w:tc>
        <w:tc>
          <w:tcPr>
            <w:tcW w:w="3192" w:type="dxa"/>
            <w:shd w:val="clear" w:color="auto" w:fill="auto"/>
          </w:tcPr>
          <w:p w:rsidR="00091EC9" w:rsidRDefault="00091EC9" w:rsidP="00076042">
            <w:r>
              <w:t>15.00</w:t>
            </w:r>
          </w:p>
        </w:tc>
      </w:tr>
      <w:tr w:rsidR="00091EC9" w:rsidTr="00076042">
        <w:tc>
          <w:tcPr>
            <w:tcW w:w="3192" w:type="dxa"/>
            <w:shd w:val="clear" w:color="auto" w:fill="auto"/>
          </w:tcPr>
          <w:p w:rsidR="00091EC9" w:rsidRDefault="00091EC9" w:rsidP="00076042">
            <w:r>
              <w:t>Couch</w:t>
            </w:r>
          </w:p>
        </w:tc>
        <w:tc>
          <w:tcPr>
            <w:tcW w:w="3192" w:type="dxa"/>
            <w:shd w:val="clear" w:color="auto" w:fill="auto"/>
          </w:tcPr>
          <w:p w:rsidR="00091EC9" w:rsidRDefault="00091EC9" w:rsidP="00076042"/>
        </w:tc>
        <w:tc>
          <w:tcPr>
            <w:tcW w:w="3192" w:type="dxa"/>
            <w:shd w:val="clear" w:color="auto" w:fill="auto"/>
          </w:tcPr>
          <w:p w:rsidR="00091EC9" w:rsidRDefault="00091EC9" w:rsidP="00076042">
            <w:r>
              <w:t>20.00</w:t>
            </w:r>
          </w:p>
        </w:tc>
      </w:tr>
      <w:tr w:rsidR="002A4180" w:rsidTr="00076042">
        <w:tc>
          <w:tcPr>
            <w:tcW w:w="3192" w:type="dxa"/>
            <w:shd w:val="clear" w:color="auto" w:fill="auto"/>
          </w:tcPr>
          <w:p w:rsidR="002A4180" w:rsidRDefault="002A4180" w:rsidP="00076042">
            <w:r>
              <w:t xml:space="preserve">Sleeper Couch </w:t>
            </w:r>
          </w:p>
        </w:tc>
        <w:tc>
          <w:tcPr>
            <w:tcW w:w="3192" w:type="dxa"/>
            <w:shd w:val="clear" w:color="auto" w:fill="auto"/>
          </w:tcPr>
          <w:p w:rsidR="002A4180" w:rsidRDefault="002A4180" w:rsidP="00076042"/>
        </w:tc>
        <w:tc>
          <w:tcPr>
            <w:tcW w:w="3192" w:type="dxa"/>
            <w:shd w:val="clear" w:color="auto" w:fill="auto"/>
          </w:tcPr>
          <w:p w:rsidR="002A4180" w:rsidRDefault="002A4180" w:rsidP="00076042">
            <w:r>
              <w:t>25.00</w:t>
            </w:r>
          </w:p>
        </w:tc>
      </w:tr>
      <w:tr w:rsidR="00091EC9" w:rsidTr="00076042">
        <w:tc>
          <w:tcPr>
            <w:tcW w:w="3192" w:type="dxa"/>
            <w:shd w:val="clear" w:color="auto" w:fill="auto"/>
          </w:tcPr>
          <w:p w:rsidR="00091EC9" w:rsidRPr="00881A7F" w:rsidRDefault="002A4180" w:rsidP="00076042">
            <w:r w:rsidRPr="00881A7F">
              <w:t>Loveseat</w:t>
            </w:r>
          </w:p>
        </w:tc>
        <w:tc>
          <w:tcPr>
            <w:tcW w:w="3192" w:type="dxa"/>
            <w:shd w:val="clear" w:color="auto" w:fill="auto"/>
          </w:tcPr>
          <w:p w:rsidR="00091EC9" w:rsidRPr="00881A7F" w:rsidRDefault="00091EC9" w:rsidP="00076042"/>
        </w:tc>
        <w:tc>
          <w:tcPr>
            <w:tcW w:w="3192" w:type="dxa"/>
            <w:shd w:val="clear" w:color="auto" w:fill="auto"/>
          </w:tcPr>
          <w:p w:rsidR="00091EC9" w:rsidRPr="00881A7F" w:rsidRDefault="002A4180" w:rsidP="00076042">
            <w:r w:rsidRPr="00881A7F">
              <w:t>15.00</w:t>
            </w:r>
          </w:p>
        </w:tc>
      </w:tr>
      <w:tr w:rsidR="00091EC9" w:rsidTr="00076042">
        <w:tc>
          <w:tcPr>
            <w:tcW w:w="3192" w:type="dxa"/>
            <w:shd w:val="clear" w:color="auto" w:fill="auto"/>
          </w:tcPr>
          <w:p w:rsidR="00091EC9" w:rsidRDefault="00091EC9" w:rsidP="00076042">
            <w:r>
              <w:t>Small mattress</w:t>
            </w:r>
          </w:p>
        </w:tc>
        <w:tc>
          <w:tcPr>
            <w:tcW w:w="3192" w:type="dxa"/>
            <w:shd w:val="clear" w:color="auto" w:fill="auto"/>
          </w:tcPr>
          <w:p w:rsidR="00091EC9" w:rsidRPr="00881A7F" w:rsidRDefault="002A4180" w:rsidP="00076042">
            <w:r w:rsidRPr="00881A7F">
              <w:t>C</w:t>
            </w:r>
            <w:r w:rsidR="00091EC9" w:rsidRPr="00881A7F">
              <w:t>rib</w:t>
            </w:r>
            <w:r w:rsidRPr="00881A7F">
              <w:t>/Twin</w:t>
            </w:r>
          </w:p>
        </w:tc>
        <w:tc>
          <w:tcPr>
            <w:tcW w:w="3192" w:type="dxa"/>
            <w:shd w:val="clear" w:color="auto" w:fill="auto"/>
          </w:tcPr>
          <w:p w:rsidR="00091EC9" w:rsidRDefault="00091EC9" w:rsidP="00076042">
            <w:r>
              <w:t>5.00</w:t>
            </w:r>
          </w:p>
        </w:tc>
      </w:tr>
      <w:tr w:rsidR="00091EC9" w:rsidTr="00076042">
        <w:tc>
          <w:tcPr>
            <w:tcW w:w="3192" w:type="dxa"/>
            <w:shd w:val="clear" w:color="auto" w:fill="auto"/>
          </w:tcPr>
          <w:p w:rsidR="00091EC9" w:rsidRDefault="00091EC9" w:rsidP="00076042">
            <w:r>
              <w:t>Medium mattress</w:t>
            </w:r>
          </w:p>
        </w:tc>
        <w:tc>
          <w:tcPr>
            <w:tcW w:w="3192" w:type="dxa"/>
            <w:shd w:val="clear" w:color="auto" w:fill="auto"/>
          </w:tcPr>
          <w:p w:rsidR="00091EC9" w:rsidRPr="00881A7F" w:rsidRDefault="002A4180" w:rsidP="00076042">
            <w:r w:rsidRPr="00881A7F">
              <w:t>Full/Queen</w:t>
            </w:r>
          </w:p>
        </w:tc>
        <w:tc>
          <w:tcPr>
            <w:tcW w:w="3192" w:type="dxa"/>
            <w:shd w:val="clear" w:color="auto" w:fill="auto"/>
          </w:tcPr>
          <w:p w:rsidR="00091EC9" w:rsidRDefault="00091EC9" w:rsidP="00076042">
            <w:r>
              <w:t>10.00</w:t>
            </w:r>
          </w:p>
        </w:tc>
      </w:tr>
      <w:tr w:rsidR="00091EC9" w:rsidTr="00076042">
        <w:tc>
          <w:tcPr>
            <w:tcW w:w="3192" w:type="dxa"/>
            <w:shd w:val="clear" w:color="auto" w:fill="auto"/>
          </w:tcPr>
          <w:p w:rsidR="00091EC9" w:rsidRDefault="00091EC9" w:rsidP="00076042">
            <w:r>
              <w:t>Large mattress</w:t>
            </w:r>
          </w:p>
        </w:tc>
        <w:tc>
          <w:tcPr>
            <w:tcW w:w="3192" w:type="dxa"/>
            <w:shd w:val="clear" w:color="auto" w:fill="auto"/>
          </w:tcPr>
          <w:p w:rsidR="00091EC9" w:rsidRPr="00881A7F" w:rsidRDefault="002A4180" w:rsidP="00076042">
            <w:r w:rsidRPr="00881A7F">
              <w:t>K</w:t>
            </w:r>
            <w:r w:rsidR="00091EC9" w:rsidRPr="00881A7F">
              <w:t>ing</w:t>
            </w:r>
            <w:r w:rsidRPr="00881A7F">
              <w:t>/Cal. King</w:t>
            </w:r>
          </w:p>
        </w:tc>
        <w:tc>
          <w:tcPr>
            <w:tcW w:w="3192" w:type="dxa"/>
            <w:shd w:val="clear" w:color="auto" w:fill="auto"/>
          </w:tcPr>
          <w:p w:rsidR="00091EC9" w:rsidRDefault="00091EC9" w:rsidP="00076042">
            <w:r>
              <w:t>20.00</w:t>
            </w:r>
          </w:p>
        </w:tc>
      </w:tr>
      <w:tr w:rsidR="00091EC9" w:rsidTr="00076042">
        <w:tc>
          <w:tcPr>
            <w:tcW w:w="3192" w:type="dxa"/>
            <w:shd w:val="clear" w:color="auto" w:fill="auto"/>
          </w:tcPr>
          <w:p w:rsidR="00091EC9" w:rsidRDefault="00091EC9" w:rsidP="00076042">
            <w:r>
              <w:t>Small box springs</w:t>
            </w:r>
          </w:p>
        </w:tc>
        <w:tc>
          <w:tcPr>
            <w:tcW w:w="3192" w:type="dxa"/>
            <w:shd w:val="clear" w:color="auto" w:fill="auto"/>
          </w:tcPr>
          <w:p w:rsidR="00091EC9" w:rsidRPr="00881A7F" w:rsidRDefault="00091EC9" w:rsidP="00076042">
            <w:r w:rsidRPr="00881A7F">
              <w:t>Crib</w:t>
            </w:r>
          </w:p>
        </w:tc>
        <w:tc>
          <w:tcPr>
            <w:tcW w:w="3192" w:type="dxa"/>
            <w:shd w:val="clear" w:color="auto" w:fill="auto"/>
          </w:tcPr>
          <w:p w:rsidR="00091EC9" w:rsidRDefault="00091EC9" w:rsidP="00076042">
            <w:r>
              <w:t>5.00</w:t>
            </w:r>
          </w:p>
        </w:tc>
      </w:tr>
      <w:tr w:rsidR="00091EC9" w:rsidTr="00076042">
        <w:tc>
          <w:tcPr>
            <w:tcW w:w="3192" w:type="dxa"/>
            <w:shd w:val="clear" w:color="auto" w:fill="auto"/>
          </w:tcPr>
          <w:p w:rsidR="00091EC9" w:rsidRDefault="00091EC9" w:rsidP="00076042">
            <w:r>
              <w:t>Medium box spring</w:t>
            </w:r>
          </w:p>
        </w:tc>
        <w:tc>
          <w:tcPr>
            <w:tcW w:w="3192" w:type="dxa"/>
            <w:shd w:val="clear" w:color="auto" w:fill="auto"/>
          </w:tcPr>
          <w:p w:rsidR="00091EC9" w:rsidRPr="00881A7F" w:rsidRDefault="00091EC9" w:rsidP="00076042">
            <w:r w:rsidRPr="00881A7F">
              <w:t>Single</w:t>
            </w:r>
          </w:p>
        </w:tc>
        <w:tc>
          <w:tcPr>
            <w:tcW w:w="3192" w:type="dxa"/>
            <w:shd w:val="clear" w:color="auto" w:fill="auto"/>
          </w:tcPr>
          <w:p w:rsidR="00091EC9" w:rsidRDefault="00091EC9" w:rsidP="00076042">
            <w:r>
              <w:t>10.00</w:t>
            </w:r>
          </w:p>
        </w:tc>
      </w:tr>
      <w:tr w:rsidR="00091EC9" w:rsidTr="00076042">
        <w:tc>
          <w:tcPr>
            <w:tcW w:w="3192" w:type="dxa"/>
            <w:shd w:val="clear" w:color="auto" w:fill="auto"/>
          </w:tcPr>
          <w:p w:rsidR="00091EC9" w:rsidRDefault="00091EC9" w:rsidP="00076042">
            <w:r>
              <w:t>Large box spring</w:t>
            </w:r>
          </w:p>
        </w:tc>
        <w:tc>
          <w:tcPr>
            <w:tcW w:w="3192" w:type="dxa"/>
            <w:shd w:val="clear" w:color="auto" w:fill="auto"/>
          </w:tcPr>
          <w:p w:rsidR="00091EC9" w:rsidRPr="00AB6F09" w:rsidRDefault="00091EC9" w:rsidP="00076042">
            <w:pPr>
              <w:rPr>
                <w:highlight w:val="yellow"/>
              </w:rPr>
            </w:pPr>
            <w:r w:rsidRPr="00881A7F">
              <w:t>Full/queen/king</w:t>
            </w:r>
          </w:p>
        </w:tc>
        <w:tc>
          <w:tcPr>
            <w:tcW w:w="3192" w:type="dxa"/>
            <w:shd w:val="clear" w:color="auto" w:fill="auto"/>
          </w:tcPr>
          <w:p w:rsidR="00091EC9" w:rsidRDefault="00091EC9" w:rsidP="00076042">
            <w:r>
              <w:t>20.00</w:t>
            </w:r>
          </w:p>
        </w:tc>
      </w:tr>
      <w:tr w:rsidR="00091EC9" w:rsidTr="00076042">
        <w:tc>
          <w:tcPr>
            <w:tcW w:w="3192" w:type="dxa"/>
            <w:shd w:val="clear" w:color="auto" w:fill="auto"/>
          </w:tcPr>
          <w:p w:rsidR="00091EC9" w:rsidRPr="00881A7F" w:rsidRDefault="002A4180" w:rsidP="00076042">
            <w:r w:rsidRPr="00881A7F">
              <w:t>Small rug</w:t>
            </w:r>
          </w:p>
        </w:tc>
        <w:tc>
          <w:tcPr>
            <w:tcW w:w="3192" w:type="dxa"/>
            <w:shd w:val="clear" w:color="auto" w:fill="auto"/>
          </w:tcPr>
          <w:p w:rsidR="00091EC9" w:rsidRPr="00881A7F" w:rsidRDefault="00091EC9" w:rsidP="00076042"/>
        </w:tc>
        <w:tc>
          <w:tcPr>
            <w:tcW w:w="3192" w:type="dxa"/>
            <w:shd w:val="clear" w:color="auto" w:fill="auto"/>
          </w:tcPr>
          <w:p w:rsidR="00091EC9" w:rsidRPr="00881A7F" w:rsidRDefault="00091EC9" w:rsidP="00076042">
            <w:r w:rsidRPr="00881A7F">
              <w:t>5.00</w:t>
            </w:r>
          </w:p>
        </w:tc>
      </w:tr>
      <w:tr w:rsidR="002A4180" w:rsidTr="00076042">
        <w:tc>
          <w:tcPr>
            <w:tcW w:w="3192" w:type="dxa"/>
            <w:shd w:val="clear" w:color="auto" w:fill="auto"/>
          </w:tcPr>
          <w:p w:rsidR="002A4180" w:rsidRPr="00881A7F" w:rsidRDefault="002A4180" w:rsidP="00076042">
            <w:r w:rsidRPr="00881A7F">
              <w:t>Large rug</w:t>
            </w:r>
          </w:p>
        </w:tc>
        <w:tc>
          <w:tcPr>
            <w:tcW w:w="3192" w:type="dxa"/>
            <w:shd w:val="clear" w:color="auto" w:fill="auto"/>
          </w:tcPr>
          <w:p w:rsidR="002A4180" w:rsidRPr="00881A7F" w:rsidRDefault="002A4180" w:rsidP="00076042"/>
        </w:tc>
        <w:tc>
          <w:tcPr>
            <w:tcW w:w="3192" w:type="dxa"/>
            <w:shd w:val="clear" w:color="auto" w:fill="auto"/>
          </w:tcPr>
          <w:p w:rsidR="002A4180" w:rsidRPr="00881A7F" w:rsidRDefault="002A4180" w:rsidP="00076042">
            <w:r w:rsidRPr="00881A7F">
              <w:t>10.00</w:t>
            </w:r>
          </w:p>
        </w:tc>
      </w:tr>
      <w:tr w:rsidR="00091EC9" w:rsidTr="00076042">
        <w:tc>
          <w:tcPr>
            <w:tcW w:w="3192" w:type="dxa"/>
            <w:shd w:val="clear" w:color="auto" w:fill="auto"/>
          </w:tcPr>
          <w:p w:rsidR="00091EC9" w:rsidRPr="00881A7F" w:rsidRDefault="002A4180" w:rsidP="00076042">
            <w:r w:rsidRPr="00881A7F">
              <w:t>Carpet</w:t>
            </w:r>
          </w:p>
        </w:tc>
        <w:tc>
          <w:tcPr>
            <w:tcW w:w="3192" w:type="dxa"/>
            <w:shd w:val="clear" w:color="auto" w:fill="auto"/>
          </w:tcPr>
          <w:p w:rsidR="00091EC9" w:rsidRPr="00881A7F" w:rsidRDefault="00881A7F" w:rsidP="00076042">
            <w:r>
              <w:t>Any Room</w:t>
            </w:r>
          </w:p>
        </w:tc>
        <w:tc>
          <w:tcPr>
            <w:tcW w:w="3192" w:type="dxa"/>
            <w:shd w:val="clear" w:color="auto" w:fill="auto"/>
          </w:tcPr>
          <w:p w:rsidR="00091EC9" w:rsidRPr="00881A7F" w:rsidRDefault="002A4180" w:rsidP="002A4180">
            <w:r w:rsidRPr="00881A7F">
              <w:t>15.00</w:t>
            </w:r>
          </w:p>
        </w:tc>
      </w:tr>
      <w:tr w:rsidR="002A4180" w:rsidTr="00076042">
        <w:tc>
          <w:tcPr>
            <w:tcW w:w="3192" w:type="dxa"/>
            <w:shd w:val="clear" w:color="auto" w:fill="auto"/>
          </w:tcPr>
          <w:p w:rsidR="002A4180" w:rsidRDefault="002A4180" w:rsidP="00076042">
            <w:r>
              <w:t>Tub/Flush/Sink</w:t>
            </w:r>
          </w:p>
        </w:tc>
        <w:tc>
          <w:tcPr>
            <w:tcW w:w="3192" w:type="dxa"/>
            <w:shd w:val="clear" w:color="auto" w:fill="auto"/>
          </w:tcPr>
          <w:p w:rsidR="002A4180" w:rsidRDefault="002A4180" w:rsidP="00076042">
            <w:r>
              <w:t>With hardware</w:t>
            </w:r>
          </w:p>
        </w:tc>
        <w:tc>
          <w:tcPr>
            <w:tcW w:w="3192" w:type="dxa"/>
            <w:shd w:val="clear" w:color="auto" w:fill="auto"/>
          </w:tcPr>
          <w:p w:rsidR="002A4180" w:rsidRDefault="002A4180" w:rsidP="00076042">
            <w:r>
              <w:t>5.00 each</w:t>
            </w:r>
          </w:p>
        </w:tc>
      </w:tr>
    </w:tbl>
    <w:p w:rsidR="00091EC9" w:rsidRDefault="00091EC9" w:rsidP="00091EC9"/>
    <w:p w:rsidR="00091EC9" w:rsidRDefault="00091EC9" w:rsidP="00091EC9"/>
    <w:p w:rsidR="00091EC9" w:rsidRDefault="00091EC9" w:rsidP="00091EC9">
      <w:r>
        <w:t>All Building/Demolition Debris is subject to the following fee schedule:</w:t>
      </w:r>
    </w:p>
    <w:p w:rsidR="00091EC9" w:rsidRDefault="00091EC9" w:rsidP="00091E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91EC9" w:rsidTr="00076042">
        <w:tc>
          <w:tcPr>
            <w:tcW w:w="4788" w:type="dxa"/>
            <w:shd w:val="clear" w:color="auto" w:fill="auto"/>
          </w:tcPr>
          <w:p w:rsidR="00091EC9" w:rsidRDefault="00091EC9" w:rsidP="00076042">
            <w:r>
              <w:t>½ pick-up load or less</w:t>
            </w:r>
          </w:p>
        </w:tc>
        <w:tc>
          <w:tcPr>
            <w:tcW w:w="4788" w:type="dxa"/>
            <w:shd w:val="clear" w:color="auto" w:fill="auto"/>
          </w:tcPr>
          <w:p w:rsidR="00091EC9" w:rsidRDefault="00091EC9" w:rsidP="00076042">
            <w:r>
              <w:t>$15 per load</w:t>
            </w:r>
          </w:p>
        </w:tc>
      </w:tr>
      <w:tr w:rsidR="00091EC9" w:rsidTr="00076042">
        <w:tc>
          <w:tcPr>
            <w:tcW w:w="4788" w:type="dxa"/>
            <w:shd w:val="clear" w:color="auto" w:fill="auto"/>
          </w:tcPr>
          <w:p w:rsidR="00091EC9" w:rsidRDefault="00091EC9" w:rsidP="00076042">
            <w:r>
              <w:t>Over ½ load up to and including ¾ ton pickup</w:t>
            </w:r>
          </w:p>
        </w:tc>
        <w:tc>
          <w:tcPr>
            <w:tcW w:w="4788" w:type="dxa"/>
            <w:shd w:val="clear" w:color="auto" w:fill="auto"/>
          </w:tcPr>
          <w:p w:rsidR="00091EC9" w:rsidRDefault="00091EC9" w:rsidP="00076042">
            <w:r>
              <w:t>$30 per load</w:t>
            </w:r>
          </w:p>
        </w:tc>
      </w:tr>
      <w:tr w:rsidR="00091EC9" w:rsidTr="00076042">
        <w:tc>
          <w:tcPr>
            <w:tcW w:w="4788" w:type="dxa"/>
            <w:shd w:val="clear" w:color="auto" w:fill="auto"/>
          </w:tcPr>
          <w:p w:rsidR="00091EC9" w:rsidRDefault="00091EC9" w:rsidP="00076042">
            <w:r>
              <w:t>Trailer up to 8 feet:</w:t>
            </w:r>
          </w:p>
        </w:tc>
        <w:tc>
          <w:tcPr>
            <w:tcW w:w="4788" w:type="dxa"/>
            <w:shd w:val="clear" w:color="auto" w:fill="auto"/>
          </w:tcPr>
          <w:p w:rsidR="00091EC9" w:rsidRDefault="00091EC9" w:rsidP="00076042">
            <w:r>
              <w:t>$30 per load</w:t>
            </w:r>
          </w:p>
        </w:tc>
      </w:tr>
      <w:tr w:rsidR="00091EC9" w:rsidTr="00076042">
        <w:tc>
          <w:tcPr>
            <w:tcW w:w="4788" w:type="dxa"/>
            <w:shd w:val="clear" w:color="auto" w:fill="auto"/>
          </w:tcPr>
          <w:p w:rsidR="00091EC9" w:rsidRDefault="00091EC9" w:rsidP="00076042">
            <w:r>
              <w:t xml:space="preserve">One ton with short bed </w:t>
            </w:r>
          </w:p>
        </w:tc>
        <w:tc>
          <w:tcPr>
            <w:tcW w:w="4788" w:type="dxa"/>
            <w:shd w:val="clear" w:color="auto" w:fill="auto"/>
          </w:tcPr>
          <w:p w:rsidR="00091EC9" w:rsidRDefault="00091EC9" w:rsidP="00076042">
            <w:r>
              <w:t>$50 per load</w:t>
            </w:r>
          </w:p>
        </w:tc>
      </w:tr>
      <w:tr w:rsidR="00091EC9" w:rsidTr="00076042">
        <w:tc>
          <w:tcPr>
            <w:tcW w:w="4788" w:type="dxa"/>
            <w:shd w:val="clear" w:color="auto" w:fill="auto"/>
          </w:tcPr>
          <w:p w:rsidR="00091EC9" w:rsidRDefault="00091EC9" w:rsidP="00076042">
            <w:r>
              <w:t>Trailer up to 12 feet</w:t>
            </w:r>
          </w:p>
        </w:tc>
        <w:tc>
          <w:tcPr>
            <w:tcW w:w="4788" w:type="dxa"/>
            <w:shd w:val="clear" w:color="auto" w:fill="auto"/>
          </w:tcPr>
          <w:p w:rsidR="00091EC9" w:rsidRDefault="00091EC9" w:rsidP="00076042">
            <w:r>
              <w:t>$50 per load</w:t>
            </w:r>
          </w:p>
        </w:tc>
      </w:tr>
      <w:tr w:rsidR="00091EC9" w:rsidTr="00076042">
        <w:tc>
          <w:tcPr>
            <w:tcW w:w="4788" w:type="dxa"/>
            <w:shd w:val="clear" w:color="auto" w:fill="auto"/>
          </w:tcPr>
          <w:p w:rsidR="00091EC9" w:rsidRDefault="00091EC9" w:rsidP="00076042">
            <w:r>
              <w:t>One on with rack body</w:t>
            </w:r>
          </w:p>
        </w:tc>
        <w:tc>
          <w:tcPr>
            <w:tcW w:w="4788" w:type="dxa"/>
            <w:shd w:val="clear" w:color="auto" w:fill="auto"/>
          </w:tcPr>
          <w:p w:rsidR="00091EC9" w:rsidRDefault="00091EC9" w:rsidP="00076042">
            <w:r>
              <w:t>$80 per load</w:t>
            </w:r>
          </w:p>
        </w:tc>
      </w:tr>
      <w:tr w:rsidR="00091EC9" w:rsidTr="00076042">
        <w:tc>
          <w:tcPr>
            <w:tcW w:w="4788" w:type="dxa"/>
            <w:shd w:val="clear" w:color="auto" w:fill="auto"/>
          </w:tcPr>
          <w:p w:rsidR="00091EC9" w:rsidRDefault="00091EC9" w:rsidP="00076042">
            <w:r>
              <w:t>Trailer over 12 feet</w:t>
            </w:r>
          </w:p>
        </w:tc>
        <w:tc>
          <w:tcPr>
            <w:tcW w:w="4788" w:type="dxa"/>
            <w:shd w:val="clear" w:color="auto" w:fill="auto"/>
          </w:tcPr>
          <w:p w:rsidR="00091EC9" w:rsidRDefault="00091EC9" w:rsidP="00076042">
            <w:r>
              <w:t>$80 per load</w:t>
            </w:r>
          </w:p>
        </w:tc>
      </w:tr>
      <w:tr w:rsidR="00091EC9" w:rsidTr="00076042">
        <w:tc>
          <w:tcPr>
            <w:tcW w:w="4788" w:type="dxa"/>
            <w:shd w:val="clear" w:color="auto" w:fill="auto"/>
          </w:tcPr>
          <w:p w:rsidR="00091EC9" w:rsidRDefault="00091EC9" w:rsidP="00076042">
            <w:r>
              <w:t>Trucks with 4 to 7 yard body (6 wheeler)</w:t>
            </w:r>
          </w:p>
        </w:tc>
        <w:tc>
          <w:tcPr>
            <w:tcW w:w="4788" w:type="dxa"/>
            <w:shd w:val="clear" w:color="auto" w:fill="auto"/>
          </w:tcPr>
          <w:p w:rsidR="00091EC9" w:rsidRDefault="00091EC9" w:rsidP="00076042">
            <w:r>
              <w:t>$160 per load</w:t>
            </w:r>
          </w:p>
        </w:tc>
      </w:tr>
      <w:tr w:rsidR="00091EC9" w:rsidTr="00076042">
        <w:tc>
          <w:tcPr>
            <w:tcW w:w="4788" w:type="dxa"/>
            <w:shd w:val="clear" w:color="auto" w:fill="auto"/>
          </w:tcPr>
          <w:p w:rsidR="00091EC9" w:rsidRDefault="00091EC9" w:rsidP="00076042">
            <w:r>
              <w:t>Trucks with 12 – 16 yard body (10 wheeler)</w:t>
            </w:r>
          </w:p>
        </w:tc>
        <w:tc>
          <w:tcPr>
            <w:tcW w:w="4788" w:type="dxa"/>
            <w:shd w:val="clear" w:color="auto" w:fill="auto"/>
          </w:tcPr>
          <w:p w:rsidR="00091EC9" w:rsidRDefault="00091EC9" w:rsidP="00076042">
            <w:r>
              <w:t>$200 per load</w:t>
            </w:r>
          </w:p>
        </w:tc>
      </w:tr>
      <w:tr w:rsidR="00091EC9" w:rsidTr="00076042">
        <w:tc>
          <w:tcPr>
            <w:tcW w:w="9576" w:type="dxa"/>
            <w:gridSpan w:val="2"/>
            <w:shd w:val="clear" w:color="auto" w:fill="auto"/>
          </w:tcPr>
          <w:p w:rsidR="00091EC9" w:rsidRDefault="00091EC9" w:rsidP="00076042">
            <w:pPr>
              <w:jc w:val="center"/>
            </w:pPr>
            <w:r>
              <w:t>Construction dumpsters will not be accepted</w:t>
            </w:r>
          </w:p>
        </w:tc>
      </w:tr>
    </w:tbl>
    <w:p w:rsidR="00091EC9" w:rsidRDefault="00091EC9" w:rsidP="00091EC9"/>
    <w:p w:rsidR="00091EC9" w:rsidRDefault="00091EC9" w:rsidP="00091EC9"/>
    <w:p w:rsidR="00091EC9" w:rsidRDefault="00091EC9" w:rsidP="00091EC9">
      <w:r>
        <w:t>The transfer station attendant will write up an invoice. One copy of the invoice is for the customer and the other is for the Town Office. All invoices are due at the Town Office by the last day of the month. If a bill is produced by the town office a $2 billing fee will be charged.</w:t>
      </w:r>
    </w:p>
    <w:p w:rsidR="00091EC9" w:rsidRDefault="00091EC9" w:rsidP="00091EC9"/>
    <w:p w:rsidR="00B764B9" w:rsidRDefault="00731925">
      <w:r>
        <w:t>Any questions or comments on these guidelines should be directed to the Board of Selectmen through the Town Office at 422-3393.</w:t>
      </w:r>
    </w:p>
    <w:p w:rsidR="00731925" w:rsidRDefault="00731925"/>
    <w:p w:rsidR="00731925" w:rsidRPr="00731925" w:rsidRDefault="00731925">
      <w:pPr>
        <w:rPr>
          <w:sz w:val="16"/>
          <w:szCs w:val="16"/>
        </w:rPr>
      </w:pPr>
      <w:r w:rsidRPr="00731925">
        <w:rPr>
          <w:sz w:val="16"/>
          <w:szCs w:val="16"/>
        </w:rPr>
        <w:t>Approved on 12/1/2010</w:t>
      </w:r>
    </w:p>
    <w:p w:rsidR="00731925" w:rsidRPr="00731925" w:rsidRDefault="00731925">
      <w:pPr>
        <w:rPr>
          <w:sz w:val="16"/>
          <w:szCs w:val="16"/>
        </w:rPr>
      </w:pPr>
      <w:r w:rsidRPr="00731925">
        <w:rPr>
          <w:sz w:val="16"/>
          <w:szCs w:val="16"/>
        </w:rPr>
        <w:t>Amended 5/4/2011</w:t>
      </w:r>
    </w:p>
    <w:p w:rsidR="00731925" w:rsidRPr="00731925" w:rsidRDefault="00731925">
      <w:pPr>
        <w:rPr>
          <w:sz w:val="16"/>
          <w:szCs w:val="16"/>
        </w:rPr>
      </w:pPr>
      <w:r w:rsidRPr="00731925">
        <w:rPr>
          <w:sz w:val="16"/>
          <w:szCs w:val="16"/>
        </w:rPr>
        <w:t>Amended 7/20/2011</w:t>
      </w:r>
    </w:p>
    <w:p w:rsidR="00731925" w:rsidRPr="00731925" w:rsidRDefault="00731925">
      <w:pPr>
        <w:rPr>
          <w:sz w:val="16"/>
          <w:szCs w:val="16"/>
        </w:rPr>
      </w:pPr>
      <w:r w:rsidRPr="00731925">
        <w:rPr>
          <w:sz w:val="16"/>
          <w:szCs w:val="16"/>
        </w:rPr>
        <w:t>Amended 3/20/2013</w:t>
      </w:r>
    </w:p>
    <w:p w:rsidR="00731925" w:rsidRPr="00731925" w:rsidRDefault="00731925">
      <w:pPr>
        <w:rPr>
          <w:sz w:val="16"/>
          <w:szCs w:val="16"/>
        </w:rPr>
      </w:pPr>
      <w:r w:rsidRPr="00731925">
        <w:rPr>
          <w:sz w:val="16"/>
          <w:szCs w:val="16"/>
        </w:rPr>
        <w:t>Amended 4/3/2013</w:t>
      </w:r>
    </w:p>
    <w:p w:rsidR="00731925" w:rsidRPr="00731925" w:rsidRDefault="00731925">
      <w:pPr>
        <w:rPr>
          <w:sz w:val="16"/>
          <w:szCs w:val="16"/>
        </w:rPr>
      </w:pPr>
      <w:r w:rsidRPr="00731925">
        <w:rPr>
          <w:sz w:val="16"/>
          <w:szCs w:val="16"/>
        </w:rPr>
        <w:t>Amended 11/6/2017</w:t>
      </w:r>
      <w:bookmarkStart w:id="0" w:name="_GoBack"/>
      <w:bookmarkEnd w:id="0"/>
    </w:p>
    <w:sectPr w:rsidR="00731925" w:rsidRPr="00731925" w:rsidSect="0073192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C9"/>
    <w:rsid w:val="00091EC9"/>
    <w:rsid w:val="002A4180"/>
    <w:rsid w:val="0056132F"/>
    <w:rsid w:val="00731925"/>
    <w:rsid w:val="00881A7F"/>
    <w:rsid w:val="0089494A"/>
    <w:rsid w:val="00AB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180"/>
    <w:rPr>
      <w:rFonts w:ascii="Tahoma" w:hAnsi="Tahoma" w:cs="Tahoma"/>
      <w:sz w:val="16"/>
      <w:szCs w:val="16"/>
    </w:rPr>
  </w:style>
  <w:style w:type="character" w:customStyle="1" w:styleId="BalloonTextChar">
    <w:name w:val="Balloon Text Char"/>
    <w:basedOn w:val="DefaultParagraphFont"/>
    <w:link w:val="BalloonText"/>
    <w:uiPriority w:val="99"/>
    <w:semiHidden/>
    <w:rsid w:val="002A41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180"/>
    <w:rPr>
      <w:rFonts w:ascii="Tahoma" w:hAnsi="Tahoma" w:cs="Tahoma"/>
      <w:sz w:val="16"/>
      <w:szCs w:val="16"/>
    </w:rPr>
  </w:style>
  <w:style w:type="character" w:customStyle="1" w:styleId="BalloonTextChar">
    <w:name w:val="Balloon Text Char"/>
    <w:basedOn w:val="DefaultParagraphFont"/>
    <w:link w:val="BalloonText"/>
    <w:uiPriority w:val="99"/>
    <w:semiHidden/>
    <w:rsid w:val="002A41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Toni</cp:lastModifiedBy>
  <cp:revision>4</cp:revision>
  <cp:lastPrinted>2017-10-26T17:38:00Z</cp:lastPrinted>
  <dcterms:created xsi:type="dcterms:W3CDTF">2017-10-26T17:42:00Z</dcterms:created>
  <dcterms:modified xsi:type="dcterms:W3CDTF">2017-11-07T19:10:00Z</dcterms:modified>
</cp:coreProperties>
</file>